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35DD4" w:rsidRPr="00A35D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СОВЕРШЕНСТВОВАНИЕ ОРГАНИЗАЦИИ ПРИЁМА ДЛЯ </w:t>
      </w:r>
      <w:proofErr w:type="gramStart"/>
      <w:r w:rsidR="00A35DD4" w:rsidRPr="00A35DD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ОБУЧЕНИЯ ПО ПРОГРАММАМ</w:t>
      </w:r>
      <w:proofErr w:type="gramEnd"/>
      <w:r w:rsidR="00A35DD4" w:rsidRPr="00A35D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БАКАЛАВРИАТА, СПЕЦИАЛИТЕТА, МАГИСТРАТУРЫ, АСПИРАНТУРЫ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26A" w:rsidRPr="00E3026A" w:rsidRDefault="00E3026A" w:rsidP="00E30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A35DD4" w:rsidRPr="00D0467E">
        <w:rPr>
          <w:rFonts w:ascii="Times New Roman" w:hAnsi="Times New Roman"/>
          <w:sz w:val="24"/>
          <w:szCs w:val="24"/>
          <w:lang w:eastAsia="de-DE"/>
        </w:rPr>
        <w:t>Совершенствование организации приёма для обучения по программам бакалавриата, специалитета, магистратуры, аспирантуры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E3026A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A35DD4" w:rsidRPr="00D0467E">
        <w:rPr>
          <w:rFonts w:ascii="Times New Roman" w:hAnsi="Times New Roman"/>
          <w:sz w:val="24"/>
          <w:szCs w:val="24"/>
          <w:lang w:eastAsia="de-DE"/>
        </w:rPr>
        <w:t>способствование улучшению организации приёма для обучения по программам высшего образования по уровням бакалавриата, специалитета, магистратуры, аспирантуры</w:t>
      </w:r>
      <w:r w:rsidRPr="00E3026A">
        <w:rPr>
          <w:rFonts w:ascii="Times New Roman" w:hAnsi="Times New Roman"/>
          <w:sz w:val="24"/>
          <w:szCs w:val="24"/>
          <w:lang w:eastAsia="de-DE"/>
        </w:rPr>
        <w:t>.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96767" w:rsidRDefault="00596767" w:rsidP="00596767">
      <w:pPr>
        <w:pStyle w:val="10"/>
        <w:ind w:left="0" w:right="-1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Планируемые результаты обучения:</w:t>
      </w:r>
    </w:p>
    <w:p w:rsidR="00596767" w:rsidRDefault="00596767" w:rsidP="00596767">
      <w:pPr>
        <w:pStyle w:val="10"/>
        <w:ind w:left="0" w:right="-1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b w:val="0"/>
          <w:szCs w:val="24"/>
          <w:lang w:eastAsia="en-US"/>
        </w:rPr>
        <w:t>Выпускники программы должны совершенствовать или освоить следующие компетенции:</w:t>
      </w:r>
    </w:p>
    <w:p w:rsidR="00596767" w:rsidRDefault="00596767" w:rsidP="00596767">
      <w:pPr>
        <w:pStyle w:val="10"/>
        <w:numPr>
          <w:ilvl w:val="0"/>
          <w:numId w:val="7"/>
        </w:numPr>
        <w:ind w:right="-1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знать</w:t>
      </w:r>
      <w:r>
        <w:rPr>
          <w:rFonts w:ascii="Times New Roman" w:eastAsiaTheme="minorHAnsi" w:hAnsi="Times New Roman"/>
          <w:b w:val="0"/>
          <w:szCs w:val="24"/>
          <w:lang w:eastAsia="en-US"/>
        </w:rPr>
        <w:t>: нормативные документы и нововведения по целевому набору;</w:t>
      </w:r>
    </w:p>
    <w:p w:rsidR="00596767" w:rsidRDefault="00596767" w:rsidP="00596767">
      <w:pPr>
        <w:pStyle w:val="10"/>
        <w:numPr>
          <w:ilvl w:val="0"/>
          <w:numId w:val="7"/>
        </w:numPr>
        <w:ind w:right="-1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уметь: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применять критерии эффективности организации приёмной кампании университета;</w:t>
      </w:r>
    </w:p>
    <w:p w:rsidR="00596767" w:rsidRDefault="00596767" w:rsidP="00596767">
      <w:pPr>
        <w:pStyle w:val="10"/>
        <w:numPr>
          <w:ilvl w:val="0"/>
          <w:numId w:val="7"/>
        </w:numPr>
        <w:ind w:right="-1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владеть:</w:t>
      </w:r>
      <w:r>
        <w:rPr>
          <w:rFonts w:ascii="Times New Roman" w:eastAsiaTheme="minorHAnsi" w:hAnsi="Times New Roman"/>
          <w:b w:val="0"/>
          <w:szCs w:val="24"/>
          <w:lang w:eastAsia="en-US"/>
        </w:rPr>
        <w:t xml:space="preserve"> стратегиями привлечения абитуриентов на образовательные программы университета.</w:t>
      </w:r>
    </w:p>
    <w:p w:rsidR="00EF545C" w:rsidRPr="00685EFC" w:rsidRDefault="00EF545C" w:rsidP="00EF545C">
      <w:pPr>
        <w:spacing w:after="0" w:line="240" w:lineRule="auto"/>
        <w:jc w:val="both"/>
        <w:rPr>
          <w:rFonts w:cs="TimesNewRomanPSMT"/>
          <w:b/>
          <w:bCs/>
          <w:sz w:val="24"/>
          <w:szCs w:val="24"/>
        </w:rPr>
      </w:pPr>
      <w:bookmarkStart w:id="0" w:name="_GoBack"/>
      <w:bookmarkEnd w:id="0"/>
    </w:p>
    <w:p w:rsidR="00B732E6" w:rsidRPr="00E3026A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</w:t>
      </w:r>
      <w:proofErr w:type="gramStart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343"/>
    <w:multiLevelType w:val="hybridMultilevel"/>
    <w:tmpl w:val="A6126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76803"/>
    <w:multiLevelType w:val="hybridMultilevel"/>
    <w:tmpl w:val="66624E02"/>
    <w:lvl w:ilvl="0" w:tplc="1BF038E0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0712"/>
    <w:multiLevelType w:val="hybridMultilevel"/>
    <w:tmpl w:val="D400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3F6790"/>
    <w:rsid w:val="004327B3"/>
    <w:rsid w:val="0058711E"/>
    <w:rsid w:val="005905B6"/>
    <w:rsid w:val="00596767"/>
    <w:rsid w:val="00955994"/>
    <w:rsid w:val="00A35DD4"/>
    <w:rsid w:val="00B732E6"/>
    <w:rsid w:val="00B74284"/>
    <w:rsid w:val="00BC0CB5"/>
    <w:rsid w:val="00CB51CB"/>
    <w:rsid w:val="00E3026A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596767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596767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4</cp:revision>
  <cp:lastPrinted>2019-03-19T08:10:00Z</cp:lastPrinted>
  <dcterms:created xsi:type="dcterms:W3CDTF">2019-06-13T13:59:00Z</dcterms:created>
  <dcterms:modified xsi:type="dcterms:W3CDTF">2019-07-22T12:01:00Z</dcterms:modified>
</cp:coreProperties>
</file>