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6720C" w:rsidRPr="00B14704" w14:paraId="1407B373" w14:textId="77777777" w:rsidTr="000420D4">
        <w:tc>
          <w:tcPr>
            <w:tcW w:w="4928" w:type="dxa"/>
          </w:tcPr>
          <w:p w14:paraId="1407B369" w14:textId="77777777"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7418916" w14:textId="77777777" w:rsidR="00130D60" w:rsidRPr="004E1250" w:rsidRDefault="00130D60" w:rsidP="00130D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5834F0C0" w14:textId="77777777" w:rsidR="00130D60" w:rsidRPr="004E1250" w:rsidRDefault="00130D60" w:rsidP="00130D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>к приказу НИУ ВШЭ</w:t>
            </w:r>
          </w:p>
          <w:p w14:paraId="0204D4D7" w14:textId="03F1237B" w:rsidR="00130D60" w:rsidRPr="004E1250" w:rsidRDefault="00130D60" w:rsidP="00130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33214" w:rsidRPr="00D33214">
              <w:rPr>
                <w:rFonts w:ascii="Times New Roman" w:hAnsi="Times New Roman"/>
                <w:sz w:val="26"/>
                <w:szCs w:val="26"/>
              </w:rPr>
              <w:t>30</w:t>
            </w:r>
            <w:r w:rsidR="00D33214">
              <w:rPr>
                <w:rFonts w:ascii="Times New Roman" w:hAnsi="Times New Roman"/>
                <w:sz w:val="26"/>
                <w:szCs w:val="26"/>
              </w:rPr>
              <w:t>.09.2019</w:t>
            </w:r>
            <w:r w:rsidRPr="004E125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bookmarkStart w:id="0" w:name="_GoBack"/>
            <w:r w:rsidR="00D33214" w:rsidRPr="00D33214">
              <w:rPr>
                <w:rFonts w:ascii="Times New Roman" w:hAnsi="Times New Roman"/>
                <w:bCs/>
                <w:sz w:val="26"/>
                <w:szCs w:val="26"/>
              </w:rPr>
              <w:t>6.18.1-01/3009-02</w:t>
            </w:r>
            <w:bookmarkEnd w:id="0"/>
            <w:r w:rsidRPr="004E125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14:paraId="4C6D486D" w14:textId="77777777" w:rsidR="00130D60" w:rsidRPr="00D33214" w:rsidRDefault="00130D60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65DC7A" w14:textId="77777777" w:rsidR="00130D60" w:rsidRPr="00D33214" w:rsidRDefault="00130D60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407B36F" w14:textId="77777777" w:rsidR="00E6720C" w:rsidRPr="00B14704" w:rsidRDefault="00AE66C6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14:paraId="1407B370" w14:textId="77777777" w:rsidR="00AE66C6" w:rsidRPr="00B14704" w:rsidRDefault="00AE66C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14:paraId="1407B371" w14:textId="3961A409" w:rsidR="00AE66C6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130D60" w:rsidRPr="00D33214">
              <w:rPr>
                <w:rFonts w:ascii="Times New Roman" w:hAnsi="Times New Roman"/>
                <w:sz w:val="26"/>
                <w:szCs w:val="26"/>
              </w:rPr>
              <w:t>27</w:t>
            </w:r>
            <w:r w:rsidR="00130D60">
              <w:rPr>
                <w:rFonts w:ascii="Times New Roman" w:hAnsi="Times New Roman"/>
                <w:sz w:val="26"/>
                <w:szCs w:val="26"/>
              </w:rPr>
              <w:t>.09.</w:t>
            </w:r>
            <w:r w:rsidR="009918AA">
              <w:rPr>
                <w:rFonts w:ascii="Times New Roman" w:hAnsi="Times New Roman"/>
                <w:sz w:val="26"/>
                <w:szCs w:val="26"/>
              </w:rPr>
              <w:t>201</w:t>
            </w:r>
            <w:r w:rsidR="00EC4559">
              <w:rPr>
                <w:rFonts w:ascii="Times New Roman" w:hAnsi="Times New Roman"/>
                <w:sz w:val="26"/>
                <w:szCs w:val="26"/>
              </w:rPr>
              <w:t>9</w:t>
            </w:r>
            <w:r w:rsidR="009918A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30D60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14:paraId="1407B372" w14:textId="6122A01A" w:rsidR="00030AA4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B374" w14:textId="77777777"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5" w14:textId="77777777"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6" w14:textId="77777777"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77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14:paraId="1407B378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14:paraId="1407B379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14:paraId="1407B37A" w14:textId="79BE4E92"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92853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928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14:paraId="1407B37B" w14:textId="77777777"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C" w14:textId="77777777"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1407B37D" w14:textId="77777777"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E" w14:textId="3CA89541"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бакалавриата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92853">
        <w:rPr>
          <w:rFonts w:ascii="Times New Roman" w:eastAsia="Times New Roman" w:hAnsi="Times New Roman"/>
          <w:sz w:val="26"/>
          <w:szCs w:val="26"/>
          <w:lang w:eastAsia="ru-RU"/>
        </w:rPr>
        <w:t xml:space="preserve">2020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</w:t>
      </w:r>
      <w:r w:rsidR="00BA45B6"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2012 № 273-ФЗ «Об образовании в Российской Федерации»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Закон № 273-ФЗ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), Порядка приема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</w:t>
      </w:r>
      <w:r w:rsidR="00BA45B6">
        <w:rPr>
          <w:rFonts w:ascii="Times New Roman" w:eastAsia="Times New Roman" w:hAnsi="Times New Roman"/>
          <w:sz w:val="26"/>
          <w:szCs w:val="26"/>
          <w:lang w:eastAsia="ru-RU"/>
        </w:rPr>
        <w:t>.10.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2015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№ 1147</w:t>
      </w:r>
      <w:r w:rsidR="001E697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Порядок № 1147)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7F" w14:textId="61D113E9" w:rsidR="009935B6" w:rsidRPr="00B14704" w:rsidRDefault="009935B6" w:rsidP="00095058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95058" w:rsidRPr="00095058">
        <w:rPr>
          <w:rFonts w:ascii="Times New Roman" w:eastAsia="Times New Roman" w:hAnsi="Times New Roman"/>
          <w:sz w:val="26"/>
          <w:szCs w:val="26"/>
          <w:lang w:eastAsia="ru-RU"/>
        </w:rPr>
        <w:t>поступающих на обучение по программам бакалавриата на базе профессионального образования</w:t>
      </w:r>
      <w:r w:rsidR="00095058" w:rsidRPr="00095058" w:rsidDel="000950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«Национальный исследовательский университет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Пермь</w:t>
      </w:r>
      <w:r w:rsidR="0022312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0" w14:textId="1881D30C" w:rsidR="00A10844" w:rsidRPr="00095058" w:rsidRDefault="00A10844" w:rsidP="00095058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proofErr w:type="gramStart"/>
      <w:r w:rsidR="00095058" w:rsidRPr="00095058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="00095058" w:rsidRPr="000950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7D3F"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14:paraId="1407B381" w14:textId="77777777"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бакалавриата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бакалавриата,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2" w14:textId="0B6E159E"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по программам бакалавриата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14:paraId="1407B383" w14:textId="77777777"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84" w14:textId="38723038"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Все вопросы, связанные с организацией работы по приему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="0009505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1407B385" w14:textId="77777777"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6" w14:textId="0FB0A7D1"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обучение </w:t>
      </w:r>
    </w:p>
    <w:p w14:paraId="1407B387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8" w14:textId="0722BDBE"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по следующим направлениям подготовки:</w:t>
      </w:r>
    </w:p>
    <w:p w14:paraId="1407B389" w14:textId="77777777" w:rsidR="00301B7D" w:rsidRPr="00B83C74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3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14:paraId="1407B38A" w14:textId="77777777" w:rsidR="00301B7D" w:rsidRPr="00B83C74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38.03.01 Экономика</w:t>
      </w:r>
    </w:p>
    <w:p w14:paraId="1407B38B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38.03.02 Менеджмент</w:t>
      </w:r>
    </w:p>
    <w:p w14:paraId="1407B38C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8D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40.03.01 Юриспруденция</w:t>
      </w:r>
    </w:p>
    <w:p w14:paraId="2FD3CB03" w14:textId="77777777" w:rsidR="007833CB" w:rsidRPr="00B83C74" w:rsidRDefault="007833CB" w:rsidP="00783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45.03.02 Лингвистика</w:t>
      </w:r>
    </w:p>
    <w:p w14:paraId="1407B38E" w14:textId="77777777" w:rsidR="00301B7D" w:rsidRPr="001B0F52" w:rsidRDefault="00301B7D" w:rsidP="001316A2">
      <w:pPr>
        <w:spacing w:after="0" w:line="168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407B38F" w14:textId="77777777" w:rsidR="00301B7D" w:rsidRPr="00B83C74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3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 - Нижний Новгород:</w:t>
      </w:r>
    </w:p>
    <w:p w14:paraId="485242C5" w14:textId="77777777" w:rsidR="005B5CBF" w:rsidRPr="00B83C74" w:rsidRDefault="005B5CBF" w:rsidP="005B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C74">
        <w:rPr>
          <w:rFonts w:ascii="Times New Roman" w:hAnsi="Times New Roman"/>
          <w:sz w:val="26"/>
          <w:szCs w:val="26"/>
        </w:rPr>
        <w:t>09.03.04 Программная инженерия</w:t>
      </w:r>
    </w:p>
    <w:p w14:paraId="1407B390" w14:textId="77777777" w:rsidR="00301B7D" w:rsidRPr="00B83C74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38.03.01 Экономика</w:t>
      </w:r>
    </w:p>
    <w:p w14:paraId="1407B391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38.03.02 Менеджмент</w:t>
      </w:r>
    </w:p>
    <w:p w14:paraId="1407B392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3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40.03.01 Юриспруденция</w:t>
      </w:r>
    </w:p>
    <w:p w14:paraId="1407B394" w14:textId="77777777" w:rsidR="00301B7D" w:rsidRPr="001B0F52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1407B395" w14:textId="77777777" w:rsidR="00301B7D" w:rsidRPr="00B83C74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3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 - Пермь:</w:t>
      </w:r>
    </w:p>
    <w:p w14:paraId="1407B396" w14:textId="77777777" w:rsidR="00301B7D" w:rsidRPr="00B83C74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 xml:space="preserve">09.03.04 Программная инженерия </w:t>
      </w:r>
    </w:p>
    <w:p w14:paraId="1407B397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38.03.01 Экономика</w:t>
      </w:r>
    </w:p>
    <w:p w14:paraId="1407B398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38.03.02 Менеджмент</w:t>
      </w:r>
    </w:p>
    <w:p w14:paraId="1407B39A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C74">
        <w:rPr>
          <w:rFonts w:ascii="Times New Roman" w:hAnsi="Times New Roman"/>
          <w:sz w:val="26"/>
          <w:szCs w:val="26"/>
        </w:rPr>
        <w:t>40.03.01 Юриспруденция</w:t>
      </w:r>
    </w:p>
    <w:p w14:paraId="1407B39B" w14:textId="77777777" w:rsidR="00301B7D" w:rsidRPr="001B0F52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1407B39E" w14:textId="77777777"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F" w14:textId="690836F9"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 к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0" w14:textId="591BB948"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Правилами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14:paraId="1407B3A1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14:paraId="25729864" w14:textId="4CA904BF" w:rsidR="00517018" w:rsidRPr="00AC5379" w:rsidRDefault="000C0D81" w:rsidP="001B0F52">
      <w:pPr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17018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Минобрнауки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517018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культуры;</w:t>
      </w:r>
      <w:r w:rsidR="00517018" w:rsidRPr="00AC537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407B3A3" w14:textId="5D9DC2B6" w:rsidR="000C0D81" w:rsidRPr="00B14704" w:rsidRDefault="00517018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A4" w14:textId="77777777"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14:paraId="1407B3A5" w14:textId="6CD58377" w:rsidR="000C0D81" w:rsidRPr="00B14704" w:rsidRDefault="000F7A2C" w:rsidP="0066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об образовании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="00B4720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, или предусмотренными </w:t>
      </w:r>
      <w:hyperlink r:id="rId9" w:history="1">
        <w:r w:rsidRPr="006C30B5">
          <w:rPr>
            <w:rFonts w:ascii="Times New Roman" w:hAnsi="Times New Roman"/>
            <w:sz w:val="26"/>
            <w:szCs w:val="26"/>
            <w:lang w:eastAsia="ru-RU"/>
          </w:rPr>
          <w:t>частью 3 статьи 21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</w:t>
      </w:r>
      <w:r w:rsidR="00B4720F">
        <w:rPr>
          <w:rFonts w:ascii="Times New Roman" w:hAnsi="Times New Roman"/>
          <w:sz w:val="26"/>
          <w:szCs w:val="26"/>
          <w:lang w:eastAsia="ru-RU"/>
        </w:rPr>
        <w:t>.07.</w:t>
      </w:r>
      <w:r>
        <w:rPr>
          <w:rFonts w:ascii="Times New Roman" w:hAnsi="Times New Roman"/>
          <w:sz w:val="26"/>
          <w:szCs w:val="26"/>
          <w:lang w:eastAsia="ru-RU"/>
        </w:rPr>
        <w:t>2017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1407B3A6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14:paraId="1407B3A7" w14:textId="77777777" w:rsidR="000C0D81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14:paraId="709FADF8" w14:textId="69394343" w:rsidR="00AC5379" w:rsidRPr="001B0F52" w:rsidRDefault="00AC5379" w:rsidP="001B0F52">
      <w:pPr>
        <w:pStyle w:val="afe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0F52">
        <w:rPr>
          <w:sz w:val="26"/>
          <w:szCs w:val="26"/>
        </w:rPr>
        <w:t>раздельно для о</w:t>
      </w:r>
      <w:r w:rsidR="00C45D39" w:rsidRPr="00C45D39">
        <w:rPr>
          <w:sz w:val="26"/>
          <w:szCs w:val="26"/>
        </w:rPr>
        <w:t xml:space="preserve">бучения в </w:t>
      </w:r>
      <w:r w:rsidR="00C45D39">
        <w:rPr>
          <w:sz w:val="26"/>
          <w:szCs w:val="26"/>
        </w:rPr>
        <w:t>НИУ ВШЭ</w:t>
      </w:r>
      <w:r w:rsidRPr="001B0F52">
        <w:rPr>
          <w:sz w:val="26"/>
          <w:szCs w:val="26"/>
        </w:rPr>
        <w:t xml:space="preserve"> и для обучения в каждом из е</w:t>
      </w:r>
      <w:r w:rsidR="00C45D39">
        <w:rPr>
          <w:sz w:val="26"/>
          <w:szCs w:val="26"/>
        </w:rPr>
        <w:t>го</w:t>
      </w:r>
      <w:r w:rsidRPr="001B0F52">
        <w:rPr>
          <w:sz w:val="26"/>
          <w:szCs w:val="26"/>
        </w:rPr>
        <w:t xml:space="preserve"> филиалов;</w:t>
      </w:r>
    </w:p>
    <w:p w14:paraId="1407B3A8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14:paraId="1407B3A9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A" w14:textId="56216DB5"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B" w14:textId="5B7A8DCC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лиц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14:paraId="1407B3AC" w14:textId="7B31E4C4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, 2,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Правилам. </w:t>
      </w:r>
    </w:p>
    <w:p w14:paraId="1407B3AD" w14:textId="572B4D2D"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BA45B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AE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14:paraId="1407B3B0" w14:textId="1462D012"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Правил; </w:t>
      </w:r>
    </w:p>
    <w:p w14:paraId="1407B3B1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14:paraId="1407B3B2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14:paraId="1407B3B3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B4" w14:textId="77777777"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5" w14:textId="77777777"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14:paraId="1407B3B6" w14:textId="5F75B789"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</w:t>
      </w:r>
    </w:p>
    <w:p w14:paraId="1407B3B7" w14:textId="77777777"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8" w14:textId="420EEB25"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4312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14:paraId="1407B3B9" w14:textId="77777777"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14:paraId="1407B3BA" w14:textId="6E041B25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 к Правилам;</w:t>
      </w:r>
    </w:p>
    <w:p w14:paraId="1407B3BB" w14:textId="2E9251E1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 к  Правилам);</w:t>
      </w:r>
    </w:p>
    <w:p w14:paraId="1407B3BC" w14:textId="679BE3F5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 к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их электронной подписью.</w:t>
      </w:r>
    </w:p>
    <w:p w14:paraId="1407B3BD" w14:textId="77777777"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E" w14:textId="76DB6B53"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Правилами.</w:t>
      </w:r>
    </w:p>
    <w:p w14:paraId="1407B3BF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14:paraId="1407B3C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14:paraId="1407B3C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14:paraId="1407B3C2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3" w14:textId="5E6F311E"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</w:t>
      </w:r>
      <w:r w:rsidR="003E321B">
        <w:rPr>
          <w:rFonts w:ascii="Times New Roman" w:eastAsia="Times New Roman" w:hAnsi="Times New Roman"/>
          <w:sz w:val="26"/>
          <w:szCs w:val="26"/>
          <w:lang w:eastAsia="ru-RU"/>
        </w:rPr>
        <w:t>.07.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2002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5" w14:textId="48F372A0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Правил;</w:t>
      </w:r>
    </w:p>
    <w:p w14:paraId="1407B3C6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7" w14:textId="77777777"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14:paraId="1407B3C8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14:paraId="1407B3C9" w14:textId="77777777"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14:paraId="1407B3CA" w14:textId="3E81465B"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ых 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407B3CB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14:paraId="1407B3CC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14:paraId="1407B3CD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CE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F" w14:textId="0074EFEC"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14:paraId="1407B3D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14:paraId="1407B3D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14:paraId="1407B3D2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14:paraId="1407B3D3" w14:textId="2124E290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</w:t>
      </w:r>
      <w:r w:rsidR="003E321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E32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равилами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внутреннего распорядка </w:t>
      </w:r>
      <w:proofErr w:type="gramStart"/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14:paraId="1407B3D4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локальными нормативными актами НИУ ВШЭ, регламентирующими реализацию программ бакалавриата;</w:t>
      </w:r>
    </w:p>
    <w:p w14:paraId="1407B3D5" w14:textId="77777777"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6" w14:textId="1F148023"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proofErr w:type="gramStart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14:paraId="1407B3D7" w14:textId="70848B2D"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Правил (за исключением случая, когда указанное нарушение распространяется не на все условия </w:t>
      </w:r>
      <w:proofErr w:type="gramStart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поступления</w:t>
      </w:r>
      <w:proofErr w:type="gramEnd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обучение,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14:paraId="1407B3D8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14:paraId="1407B3D9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DA" w14:textId="27DC3858"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  <w:proofErr w:type="gramEnd"/>
    </w:p>
    <w:p w14:paraId="1407B3DB" w14:textId="77777777"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14:paraId="1407B3DC" w14:textId="77777777"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14:paraId="1407B3DD" w14:textId="77777777"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14:paraId="1407B3DE" w14:textId="77777777"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14:paraId="1407B3DF" w14:textId="77777777"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14:paraId="1407B3E0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1" w14:textId="7FDA9E18"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E2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3" w14:textId="628514E1"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, 2, 3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Правилам.</w:t>
      </w:r>
    </w:p>
    <w:p w14:paraId="1407B3E4" w14:textId="77777777"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организации и  проведения вступительных испытаний при приеме на обучение по программам бакалавриата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407B3E5" w14:textId="77777777"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6" w14:textId="77777777"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7" w14:textId="77777777"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8" w14:textId="77777777" w:rsidR="00910DE8" w:rsidRDefault="0082058A" w:rsidP="003E321B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944F128" w14:textId="032BE3C0" w:rsidR="003E321B" w:rsidRPr="008D0F34" w:rsidRDefault="003E321B" w:rsidP="008A77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E321B">
        <w:rPr>
          <w:rFonts w:ascii="Times New Roman" w:eastAsia="Times New Roman" w:hAnsi="Times New Roman"/>
          <w:sz w:val="26"/>
          <w:szCs w:val="26"/>
          <w:lang w:eastAsia="ru-RU"/>
        </w:rPr>
        <w:t>Поступающие, которые имеют среднее профессиональное образование и поступают на обучение по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бакалавриата, которые имеют высшее образование, могут по своему выбору проходить вступитель</w:t>
      </w:r>
      <w:r w:rsidR="00B4720F">
        <w:rPr>
          <w:rFonts w:ascii="Times New Roman" w:eastAsia="Times New Roman" w:hAnsi="Times New Roman"/>
          <w:sz w:val="26"/>
          <w:szCs w:val="26"/>
          <w:lang w:eastAsia="ru-RU"/>
        </w:rPr>
        <w:t xml:space="preserve">ные испытания в порядке, установленном пунктом 28 </w:t>
      </w:r>
      <w:r w:rsidR="001E697D">
        <w:rPr>
          <w:rFonts w:ascii="Times New Roman" w:eastAsia="Times New Roman" w:hAnsi="Times New Roman"/>
          <w:sz w:val="26"/>
          <w:szCs w:val="26"/>
          <w:lang w:eastAsia="ru-RU"/>
        </w:rPr>
        <w:t>Порядка № 1147</w:t>
      </w:r>
      <w:r w:rsidRPr="003E321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14:paraId="1407B3E9" w14:textId="77777777" w:rsidR="00AC3871" w:rsidRPr="00B14704" w:rsidRDefault="00AC3871" w:rsidP="003E321B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14:paraId="1407B3EA" w14:textId="77777777"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14:paraId="1407B3EB" w14:textId="77777777"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C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14:paraId="1407B3ED" w14:textId="77777777"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14:paraId="1407B3EE" w14:textId="77777777"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F" w14:textId="77777777"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14:paraId="1407B3F0" w14:textId="77777777"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1" w14:textId="1B749CDB"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  <w:proofErr w:type="gramEnd"/>
    </w:p>
    <w:p w14:paraId="1407B3F2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3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F4" w14:textId="77777777"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14:paraId="1407B3F5" w14:textId="77777777"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14:paraId="1407B3F6" w14:textId="267EE4A4"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 к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7" w14:textId="77777777"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14:paraId="1407B3F8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9" w14:textId="77777777"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14:paraId="1407B3FA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B" w14:textId="77777777"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C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1407B3FD" w14:textId="77777777" w:rsidR="00387CD4" w:rsidRPr="00B14704" w:rsidRDefault="00BE7536" w:rsidP="003E321B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407B3FE" w14:textId="77777777" w:rsidR="00BE7536" w:rsidRPr="00B14704" w:rsidRDefault="00BE7536" w:rsidP="003E321B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14:paraId="6725013A" w14:textId="48B4E97C" w:rsidR="003E321B" w:rsidRPr="008A7735" w:rsidRDefault="00BE7536" w:rsidP="008A7735">
      <w:pPr>
        <w:pStyle w:val="afe"/>
        <w:numPr>
          <w:ilvl w:val="2"/>
          <w:numId w:val="6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7735">
        <w:rPr>
          <w:sz w:val="26"/>
          <w:szCs w:val="26"/>
        </w:rPr>
        <w:t>соблюдение установленного порядка проведения вступительного испытания;</w:t>
      </w:r>
    </w:p>
    <w:p w14:paraId="1407B400" w14:textId="77777777" w:rsidR="00BE7536" w:rsidRPr="008A7735" w:rsidRDefault="00BE7536" w:rsidP="008A7735">
      <w:pPr>
        <w:pStyle w:val="afe"/>
        <w:numPr>
          <w:ilvl w:val="2"/>
          <w:numId w:val="6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7735">
        <w:rPr>
          <w:sz w:val="26"/>
          <w:szCs w:val="26"/>
        </w:rPr>
        <w:t>правильность оценивания результатов вступительного испытания.</w:t>
      </w:r>
    </w:p>
    <w:p w14:paraId="1407B401" w14:textId="77777777" w:rsidR="00BE7536" w:rsidRPr="00B14704" w:rsidRDefault="00BE7536" w:rsidP="003E321B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14:paraId="1407B402" w14:textId="77777777"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14:paraId="1407B403" w14:textId="77777777"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4" w14:textId="77777777"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14:paraId="1407B405" w14:textId="77777777"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6" w14:textId="1E149098"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</w:p>
    <w:p w14:paraId="1407B407" w14:textId="77777777"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8" w14:textId="15FBE080"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9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A" w14:textId="77A4FAAB"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14:paraId="1407B40B" w14:textId="62272091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, не </w:t>
      </w:r>
      <w:proofErr w:type="gramStart"/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A7D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C" w14:textId="703F0CBD"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14:paraId="1407B40D" w14:textId="77777777"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41A7A" w14:textId="77777777" w:rsidR="00F65753" w:rsidRDefault="00F65753" w:rsidP="009935B6">
      <w:pPr>
        <w:spacing w:after="0" w:line="240" w:lineRule="auto"/>
      </w:pPr>
      <w:r>
        <w:separator/>
      </w:r>
    </w:p>
  </w:endnote>
  <w:endnote w:type="continuationSeparator" w:id="0">
    <w:p w14:paraId="4193B345" w14:textId="77777777" w:rsidR="00F65753" w:rsidRDefault="00F65753" w:rsidP="009935B6">
      <w:pPr>
        <w:spacing w:after="0" w:line="240" w:lineRule="auto"/>
      </w:pPr>
      <w:r>
        <w:continuationSeparator/>
      </w:r>
    </w:p>
  </w:endnote>
  <w:endnote w:type="continuationNotice" w:id="1">
    <w:p w14:paraId="760351AB" w14:textId="77777777" w:rsidR="00F65753" w:rsidRDefault="00F65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7DB6" w14:textId="77777777" w:rsidR="00F65753" w:rsidRDefault="00F65753" w:rsidP="009935B6">
      <w:pPr>
        <w:spacing w:after="0" w:line="240" w:lineRule="auto"/>
      </w:pPr>
      <w:r>
        <w:separator/>
      </w:r>
    </w:p>
  </w:footnote>
  <w:footnote w:type="continuationSeparator" w:id="0">
    <w:p w14:paraId="7E27FD33" w14:textId="77777777" w:rsidR="00F65753" w:rsidRDefault="00F65753" w:rsidP="009935B6">
      <w:pPr>
        <w:spacing w:after="0" w:line="240" w:lineRule="auto"/>
      </w:pPr>
      <w:r>
        <w:continuationSeparator/>
      </w:r>
    </w:p>
  </w:footnote>
  <w:footnote w:type="continuationNotice" w:id="1">
    <w:p w14:paraId="59880129" w14:textId="77777777" w:rsidR="00F65753" w:rsidRDefault="00F65753">
      <w:pPr>
        <w:spacing w:after="0" w:line="240" w:lineRule="auto"/>
      </w:pPr>
    </w:p>
  </w:footnote>
  <w:footnote w:id="2">
    <w:p w14:paraId="1407B419" w14:textId="77777777"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Здесь и далее - срок начала учебного года по программам бакалавриата</w:t>
      </w:r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4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07B415" w14:textId="77777777"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6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3214">
      <w:rPr>
        <w:rStyle w:val="a8"/>
        <w:noProof/>
      </w:rPr>
      <w:t>2</w:t>
    </w:r>
    <w:r>
      <w:rPr>
        <w:rStyle w:val="a8"/>
      </w:rPr>
      <w:fldChar w:fldCharType="end"/>
    </w:r>
  </w:p>
  <w:p w14:paraId="1407B417" w14:textId="77777777" w:rsidR="00CD0640" w:rsidRPr="00D7477D" w:rsidRDefault="00CD0640">
    <w:pPr>
      <w:pStyle w:val="afc"/>
      <w:jc w:val="center"/>
      <w:rPr>
        <w:lang w:val="ru-RU"/>
      </w:rPr>
    </w:pPr>
  </w:p>
  <w:p w14:paraId="1407B418" w14:textId="77777777"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6005DA"/>
    <w:multiLevelType w:val="hybridMultilevel"/>
    <w:tmpl w:val="6DEC7862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3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6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9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5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6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9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1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2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5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8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9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0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3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5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6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2"/>
  </w:num>
  <w:num w:numId="3">
    <w:abstractNumId w:val="36"/>
  </w:num>
  <w:num w:numId="4">
    <w:abstractNumId w:val="53"/>
  </w:num>
  <w:num w:numId="5">
    <w:abstractNumId w:val="46"/>
  </w:num>
  <w:num w:numId="6">
    <w:abstractNumId w:val="45"/>
  </w:num>
  <w:num w:numId="7">
    <w:abstractNumId w:val="57"/>
  </w:num>
  <w:num w:numId="8">
    <w:abstractNumId w:val="4"/>
  </w:num>
  <w:num w:numId="9">
    <w:abstractNumId w:val="34"/>
  </w:num>
  <w:num w:numId="10">
    <w:abstractNumId w:val="47"/>
  </w:num>
  <w:num w:numId="11">
    <w:abstractNumId w:val="39"/>
  </w:num>
  <w:num w:numId="12">
    <w:abstractNumId w:val="0"/>
  </w:num>
  <w:num w:numId="13">
    <w:abstractNumId w:val="5"/>
  </w:num>
  <w:num w:numId="14">
    <w:abstractNumId w:val="56"/>
  </w:num>
  <w:num w:numId="15">
    <w:abstractNumId w:val="43"/>
  </w:num>
  <w:num w:numId="16">
    <w:abstractNumId w:val="63"/>
  </w:num>
  <w:num w:numId="17">
    <w:abstractNumId w:val="13"/>
  </w:num>
  <w:num w:numId="18">
    <w:abstractNumId w:val="55"/>
  </w:num>
  <w:num w:numId="19">
    <w:abstractNumId w:val="49"/>
  </w:num>
  <w:num w:numId="20">
    <w:abstractNumId w:val="6"/>
  </w:num>
  <w:num w:numId="21">
    <w:abstractNumId w:val="28"/>
  </w:num>
  <w:num w:numId="22">
    <w:abstractNumId w:val="41"/>
  </w:num>
  <w:num w:numId="23">
    <w:abstractNumId w:val="48"/>
  </w:num>
  <w:num w:numId="24">
    <w:abstractNumId w:val="51"/>
  </w:num>
  <w:num w:numId="25">
    <w:abstractNumId w:val="27"/>
  </w:num>
  <w:num w:numId="26">
    <w:abstractNumId w:val="26"/>
  </w:num>
  <w:num w:numId="27">
    <w:abstractNumId w:val="40"/>
  </w:num>
  <w:num w:numId="28">
    <w:abstractNumId w:val="54"/>
  </w:num>
  <w:num w:numId="29">
    <w:abstractNumId w:val="22"/>
  </w:num>
  <w:num w:numId="30">
    <w:abstractNumId w:val="65"/>
  </w:num>
  <w:num w:numId="31">
    <w:abstractNumId w:val="17"/>
  </w:num>
  <w:num w:numId="32">
    <w:abstractNumId w:val="20"/>
  </w:num>
  <w:num w:numId="33">
    <w:abstractNumId w:val="44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4"/>
  </w:num>
  <w:num w:numId="42">
    <w:abstractNumId w:val="9"/>
  </w:num>
  <w:num w:numId="43">
    <w:abstractNumId w:val="61"/>
  </w:num>
  <w:num w:numId="44">
    <w:abstractNumId w:val="19"/>
  </w:num>
  <w:num w:numId="45">
    <w:abstractNumId w:val="31"/>
  </w:num>
  <w:num w:numId="46">
    <w:abstractNumId w:val="8"/>
  </w:num>
  <w:num w:numId="47">
    <w:abstractNumId w:val="30"/>
  </w:num>
  <w:num w:numId="48">
    <w:abstractNumId w:val="15"/>
  </w:num>
  <w:num w:numId="49">
    <w:abstractNumId w:val="66"/>
  </w:num>
  <w:num w:numId="50">
    <w:abstractNumId w:val="23"/>
  </w:num>
  <w:num w:numId="51">
    <w:abstractNumId w:val="7"/>
  </w:num>
  <w:num w:numId="52">
    <w:abstractNumId w:val="29"/>
  </w:num>
  <w:num w:numId="53">
    <w:abstractNumId w:val="10"/>
  </w:num>
  <w:num w:numId="54">
    <w:abstractNumId w:val="33"/>
  </w:num>
  <w:num w:numId="55">
    <w:abstractNumId w:val="52"/>
  </w:num>
  <w:num w:numId="56">
    <w:abstractNumId w:val="32"/>
  </w:num>
  <w:num w:numId="57">
    <w:abstractNumId w:val="21"/>
  </w:num>
  <w:num w:numId="58">
    <w:abstractNumId w:val="35"/>
  </w:num>
  <w:num w:numId="59">
    <w:abstractNumId w:val="24"/>
  </w:num>
  <w:num w:numId="60">
    <w:abstractNumId w:val="38"/>
  </w:num>
  <w:num w:numId="61">
    <w:abstractNumId w:val="62"/>
  </w:num>
  <w:num w:numId="62">
    <w:abstractNumId w:val="58"/>
  </w:num>
  <w:num w:numId="63">
    <w:abstractNumId w:val="60"/>
  </w:num>
  <w:num w:numId="64">
    <w:abstractNumId w:val="59"/>
  </w:num>
  <w:num w:numId="65">
    <w:abstractNumId w:val="37"/>
  </w:num>
  <w:num w:numId="66">
    <w:abstractNumId w:val="42"/>
  </w:num>
  <w:num w:numId="67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2A1D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95058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6BB2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0F7A2C"/>
    <w:rsid w:val="001058FB"/>
    <w:rsid w:val="00115175"/>
    <w:rsid w:val="00117423"/>
    <w:rsid w:val="00121188"/>
    <w:rsid w:val="00122387"/>
    <w:rsid w:val="00123A04"/>
    <w:rsid w:val="00124B6E"/>
    <w:rsid w:val="00126E98"/>
    <w:rsid w:val="00130D60"/>
    <w:rsid w:val="00131380"/>
    <w:rsid w:val="0013162E"/>
    <w:rsid w:val="001316A2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0F52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6624"/>
    <w:rsid w:val="001D710E"/>
    <w:rsid w:val="001E1CCF"/>
    <w:rsid w:val="001E406E"/>
    <w:rsid w:val="001E4881"/>
    <w:rsid w:val="001E532E"/>
    <w:rsid w:val="001E697D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125"/>
    <w:rsid w:val="00223C04"/>
    <w:rsid w:val="00223F17"/>
    <w:rsid w:val="0022444A"/>
    <w:rsid w:val="00230534"/>
    <w:rsid w:val="00231512"/>
    <w:rsid w:val="00232061"/>
    <w:rsid w:val="002322F7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0449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40B"/>
    <w:rsid w:val="002969C9"/>
    <w:rsid w:val="002A00D4"/>
    <w:rsid w:val="002A1787"/>
    <w:rsid w:val="002A1A63"/>
    <w:rsid w:val="002A1DCC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3CB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A6368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321B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257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2A56"/>
    <w:rsid w:val="004D3979"/>
    <w:rsid w:val="004D40F1"/>
    <w:rsid w:val="004D4183"/>
    <w:rsid w:val="004D42B3"/>
    <w:rsid w:val="004D5629"/>
    <w:rsid w:val="004D5BBD"/>
    <w:rsid w:val="004D779E"/>
    <w:rsid w:val="004D7908"/>
    <w:rsid w:val="004E1250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018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2853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100"/>
    <w:rsid w:val="005B5290"/>
    <w:rsid w:val="005B5CBF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1B8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677C4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1F4E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30B5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06F48"/>
    <w:rsid w:val="00706FE0"/>
    <w:rsid w:val="00710EE2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27AC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3CB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602A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357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57107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A7735"/>
    <w:rsid w:val="008A7D3F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8AA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05DA8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1FAB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379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887"/>
    <w:rsid w:val="00AF4F10"/>
    <w:rsid w:val="00AF5985"/>
    <w:rsid w:val="00AF5CD9"/>
    <w:rsid w:val="00AF6C58"/>
    <w:rsid w:val="00B01B8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4720F"/>
    <w:rsid w:val="00B52593"/>
    <w:rsid w:val="00B53CC3"/>
    <w:rsid w:val="00B53FFA"/>
    <w:rsid w:val="00B54228"/>
    <w:rsid w:val="00B54332"/>
    <w:rsid w:val="00B55DB3"/>
    <w:rsid w:val="00B5629C"/>
    <w:rsid w:val="00B566A7"/>
    <w:rsid w:val="00B61FB9"/>
    <w:rsid w:val="00B62D70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3C74"/>
    <w:rsid w:val="00B84766"/>
    <w:rsid w:val="00B8512E"/>
    <w:rsid w:val="00B90038"/>
    <w:rsid w:val="00B901BA"/>
    <w:rsid w:val="00B919F7"/>
    <w:rsid w:val="00B9467E"/>
    <w:rsid w:val="00B95710"/>
    <w:rsid w:val="00B97769"/>
    <w:rsid w:val="00BA45B6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5D39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281C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214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2F9A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0F2A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495D"/>
    <w:rsid w:val="00EB6E6F"/>
    <w:rsid w:val="00EC06D9"/>
    <w:rsid w:val="00EC455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5753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4F91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6A3503E06A6A2F7AE5EDB9D86BF47A438602B6FC3F95B4016C4A6878B8DDB0AAC776D5F8BDD32J0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726E87-A212-49D7-B1FD-03809F34A9B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25262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 Windows</cp:lastModifiedBy>
  <cp:revision>6</cp:revision>
  <cp:lastPrinted>2018-09-27T09:26:00Z</cp:lastPrinted>
  <dcterms:created xsi:type="dcterms:W3CDTF">2019-09-12T13:54:00Z</dcterms:created>
  <dcterms:modified xsi:type="dcterms:W3CDTF">2019-09-30T09:10:00Z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организационного об</vt:lpwstr>
  </property>
  <property fmtid="{D5CDD505-2E9C-101B-9397-08002B2CF9AE}" pid="7" name="regnumProj">
    <vt:lpwstr>М 2017/10/9-120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Знак Н.Е.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</Properties>
</file>